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af3"/>
        <w:ind w:leftChars="0"/>
        <w:numPr>
          <w:ilvl w:val="0"/>
          <w:numId w:val="1"/>
        </w:numPr>
        <w:spacing w:line="360" w:lineRule="atLeast"/>
        <w:rPr/>
      </w:pPr>
      <w:r>
        <w:rPr/>
        <w:t>специализированная медицинская помощь оказывается в условиях дневного и круглосуточного стационаров</w:t>
      </w:r>
    </w:p>
    <w:p>
      <w:pPr>
        <w:pStyle w:val="af3"/>
        <w:ind w:leftChars="0"/>
        <w:numPr>
          <w:ilvl w:val="0"/>
          <w:numId w:val="1"/>
        </w:numPr>
        <w:spacing w:line="360" w:lineRule="atLeast"/>
        <w:rPr/>
      </w:pPr>
      <w:r>
        <w:rPr/>
        <w:t>в условиях круглосуточного стационара специализированная медицинская помощь оказывается в соответствии с медицинскими показаниями, требующими госпитального режима, интенсивной терапии и круглосуточного медицинского наблюдения по направлению</w:t>
      </w:r>
    </w:p>
    <w:p>
      <w:pPr>
        <w:pStyle w:val="af3"/>
        <w:ind w:leftChars="0"/>
        <w:numPr>
          <w:ilvl w:val="1"/>
          <w:numId w:val="1"/>
        </w:numPr>
        <w:spacing w:line="360" w:lineRule="atLeast"/>
        <w:rPr/>
      </w:pPr>
      <w:r>
        <w:rPr>
          <w:rtl w:val="off"/>
        </w:rPr>
        <w:tab/>
      </w:r>
      <w:r>
        <w:rPr/>
        <w:t>лечащего врача амбулаторно-поликлинического учреждения или врача-специалиста консультативно-диагностической поликлиники соответствующего учреждения</w:t>
      </w:r>
    </w:p>
    <w:p>
      <w:pPr>
        <w:pStyle w:val="af3"/>
        <w:ind w:leftChars="0"/>
        <w:numPr>
          <w:ilvl w:val="1"/>
          <w:numId w:val="1"/>
        </w:numPr>
        <w:spacing w:line="360" w:lineRule="atLeast"/>
        <w:rPr/>
      </w:pPr>
      <w:r>
        <w:rPr>
          <w:rtl w:val="off"/>
        </w:rPr>
        <w:tab/>
      </w:r>
      <w:r>
        <w:rPr/>
        <w:t>врача (фельдшера) бригады скорой медицинской помощи</w:t>
      </w:r>
    </w:p>
    <w:p>
      <w:pPr>
        <w:pStyle w:val="af3"/>
        <w:ind w:leftChars="0"/>
        <w:numPr>
          <w:ilvl w:val="1"/>
          <w:numId w:val="1"/>
        </w:numPr>
        <w:spacing w:line="360" w:lineRule="atLeast"/>
        <w:rPr/>
      </w:pPr>
      <w:r>
        <w:rPr>
          <w:rtl w:val="off"/>
        </w:rPr>
        <w:tab/>
      </w:r>
      <w:r>
        <w:rPr/>
        <w:t>при самостоятельном обращении больного по экстренным показаниям</w:t>
      </w:r>
    </w:p>
    <w:p>
      <w:pPr>
        <w:pStyle w:val="af3"/>
        <w:ind w:leftChars="0"/>
        <w:numPr>
          <w:ilvl w:val="0"/>
          <w:numId w:val="1"/>
        </w:numPr>
        <w:spacing w:line="360" w:lineRule="atLeast"/>
        <w:rPr/>
      </w:pPr>
      <w:r>
        <w:rPr/>
        <w:t>при плановой госпитализации лечащий врач обязан информировать гражданина о возможности выбора медицинской организации, участвующей в Программе и оказывающей медицинскую помощь по соответствующему профилю, с учетом порядка оказания медицинской помощи, утвержденного Министерством здравоохранения Российской Федерации, и маршрутизацией пациентов, утвержденной соответствующим приказом управления здравоохранения области</w:t>
      </w:r>
    </w:p>
    <w:p>
      <w:pPr>
        <w:pStyle w:val="af3"/>
        <w:ind w:leftChars="0"/>
        <w:numPr>
          <w:ilvl w:val="0"/>
          <w:numId w:val="1"/>
        </w:numPr>
        <w:spacing w:line="360" w:lineRule="atLeast"/>
        <w:rPr/>
      </w:pPr>
      <w:r>
        <w:rPr/>
        <w:t>в случае отсутствия возможности госпитализации пациента в назначенный срок медицинская организация обязана информировать пациента не менее чем за три дня до даты планируемой госпитализации и согласовать новый срок госпитализации</w:t>
      </w:r>
    </w:p>
    <w:p>
      <w:pPr>
        <w:pStyle w:val="af3"/>
        <w:ind w:leftChars="0"/>
        <w:numPr>
          <w:ilvl w:val="0"/>
          <w:numId w:val="1"/>
        </w:numPr>
        <w:spacing w:line="360" w:lineRule="atLeast"/>
        <w:rPr/>
      </w:pPr>
      <w:r>
        <w:rPr/>
        <w:t>в случае отсутствия возможности госпитализации в назначенный срок по вине пациента новая дата госпитализации определяется лечащим врачом</w:t>
      </w:r>
    </w:p>
    <w:p>
      <w:pPr>
        <w:pStyle w:val="af3"/>
        <w:ind w:leftChars="0"/>
        <w:numPr>
          <w:ilvl w:val="0"/>
          <w:numId w:val="1"/>
        </w:numPr>
        <w:spacing w:line="360" w:lineRule="atLeast"/>
        <w:rPr/>
      </w:pPr>
      <w:r>
        <w:rPr/>
        <w:t>плановая госпитализация осуществляется при наличии у пациента результатов диагностических исследований, которые должны быть проведены на догоспитальном этапе</w:t>
      </w:r>
    </w:p>
    <w:p>
      <w:pPr>
        <w:pStyle w:val="af3"/>
        <w:ind w:leftChars="0"/>
        <w:numPr>
          <w:ilvl w:val="0"/>
          <w:numId w:val="1"/>
        </w:numPr>
        <w:spacing w:line="360" w:lineRule="atLeast"/>
        <w:rPr/>
      </w:pPr>
      <w:r>
        <w:rPr/>
        <w:t>осмотр пациента, доставленного в медицинскую организацию по экстренным медицинским показаниям, проводится врачом приемного отделения незамедлительно</w:t>
      </w:r>
    </w:p>
    <w:p>
      <w:pPr>
        <w:pStyle w:val="af3"/>
        <w:ind w:leftChars="0"/>
        <w:numPr>
          <w:ilvl w:val="0"/>
          <w:numId w:val="1"/>
        </w:numPr>
        <w:spacing w:line="360" w:lineRule="atLeast"/>
        <w:rPr/>
      </w:pPr>
      <w:r>
        <w:rPr/>
        <w:t>объем диагностических и лечебных мероприятий для конкретного пациента определяет лечащий врач в соответствии с утвержденными порядками и стандартами оказания медицинской помощи по соответствующему профилю, а также клиническим показаниям</w:t>
      </w:r>
    </w:p>
    <w:p>
      <w:pPr>
        <w:pStyle w:val="af3"/>
        <w:ind w:leftChars="0"/>
        <w:numPr>
          <w:ilvl w:val="0"/>
          <w:numId w:val="1"/>
        </w:numPr>
        <w:spacing w:line="360" w:lineRule="atLeast"/>
        <w:rPr/>
      </w:pPr>
      <w:r>
        <w:rPr/>
        <w:t>срок оказания специализированной медицинской помощи в стационарных условиях – не более 30 календарных дней со дня выдачи лечащим врачом направления на госпитализацию (при условии обращения пациента на госпитализацию в рекомендуемые лечащим врачом сроки)</w:t>
      </w:r>
    </w:p>
    <w:p>
      <w:pPr>
        <w:pStyle w:val="af3"/>
        <w:ind w:leftChars="0"/>
        <w:numPr>
          <w:ilvl w:val="0"/>
          <w:numId w:val="1"/>
        </w:numPr>
        <w:spacing w:line="360" w:lineRule="atLeast"/>
        <w:rPr/>
      </w:pPr>
      <w:r>
        <w:rPr/>
        <w:t>при наличии показаний к экстренной и срочной госпитализации ее осуществление должно быть обеспечено учреждением здравоохранения, при необходимости транспортировки больного - соответственно в течение трех и двадцати четырех часов с момента определения показаний к госпитализации</w:t>
      </w:r>
    </w:p>
    <w:p>
      <w:pPr>
        <w:pStyle w:val="af3"/>
        <w:ind w:leftChars="0"/>
        <w:numPr>
          <w:ilvl w:val="0"/>
          <w:numId w:val="1"/>
        </w:numPr>
        <w:spacing w:line="360" w:lineRule="atLeast"/>
        <w:rPr/>
      </w:pPr>
      <w:r>
        <w:rPr/>
        <w:t>плановая госпитализация осуществляется в соответствии с правилами госпитализации и показаниями для госпитализации больных, утверждаемыми управлением здравоохранения области, в пределах объемов круглосуточной стационарной медицинской помощи</w:t>
      </w:r>
    </w:p>
    <w:p>
      <w:pPr>
        <w:pStyle w:val="af3"/>
        <w:ind w:leftChars="0"/>
        <w:numPr>
          <w:ilvl w:val="0"/>
          <w:numId w:val="1"/>
        </w:numPr>
        <w:spacing w:line="360" w:lineRule="atLeast"/>
        <w:rPr/>
      </w:pPr>
      <w:r>
        <w:rPr/>
        <w:t>госпитализация осуществляется в палату на три и более мест, исключение составляют больные с онкогематологической патологией, госпитализация которых осуществляется в палату на одно-два места</w:t>
      </w:r>
    </w:p>
    <w:p>
      <w:pPr>
        <w:pStyle w:val="af3"/>
        <w:ind w:leftChars="0"/>
        <w:numPr>
          <w:ilvl w:val="0"/>
          <w:numId w:val="1"/>
        </w:numPr>
        <w:spacing w:line="360" w:lineRule="atLeast"/>
        <w:rPr/>
      </w:pPr>
      <w:r>
        <w:rPr/>
        <w:t>допускается кратковременное размещение (не более суток) поступивших пациентов по экстренным показаниям вне палаты</w:t>
      </w:r>
    </w:p>
    <w:p>
      <w:pPr>
        <w:pStyle w:val="af3"/>
        <w:ind w:leftChars="0"/>
        <w:numPr>
          <w:ilvl w:val="0"/>
          <w:numId w:val="1"/>
        </w:numPr>
        <w:spacing w:line="360" w:lineRule="atLeast"/>
        <w:rPr/>
      </w:pPr>
      <w:r>
        <w:rPr/>
        <w:t>проведение лечебно-диагностических мероприятий, лекарственное обеспечение осуществляются с момента поступления в стационар</w:t>
      </w:r>
    </w:p>
    <w:p>
      <w:pPr>
        <w:pStyle w:val="af3"/>
        <w:ind w:leftChars="0"/>
        <w:numPr>
          <w:ilvl w:val="0"/>
          <w:numId w:val="1"/>
        </w:numPr>
        <w:spacing w:line="360" w:lineRule="atLeast"/>
        <w:rPr/>
      </w:pPr>
      <w:r>
        <w:rPr/>
        <w:t>обеспечение больных, рожениц и родильниц лечебным питанием в пределах тарифов на медицинские услуги, оказываемые по Программе, с учетом их утвержденной структуры</w:t>
      </w:r>
    </w:p>
    <w:p>
      <w:pPr>
        <w:pStyle w:val="af3"/>
        <w:ind w:leftChars="0"/>
        <w:numPr>
          <w:ilvl w:val="0"/>
          <w:numId w:val="1"/>
        </w:numPr>
        <w:spacing w:line="360" w:lineRule="atLeast"/>
        <w:rPr/>
      </w:pPr>
      <w:r>
        <w:rPr/>
        <w:t>обеспечение питанием одного из родителей или иного члена семьи по усмотрению родителей, ухаживающих за госпитализированным грудным ребенком и ребенком до трех лет, при наличии медицинских показаний</w:t>
      </w:r>
    </w:p>
    <w:p>
      <w:pPr>
        <w:pStyle w:val="af3"/>
        <w:ind w:leftChars="0"/>
        <w:numPr>
          <w:ilvl w:val="0"/>
          <w:numId w:val="1"/>
        </w:numPr>
        <w:spacing w:line="360" w:lineRule="atLeast"/>
        <w:rPr/>
      </w:pPr>
      <w:r>
        <w:rPr/>
        <w:t>перевод в медицинское учреждение более высокого уровня по медицинским показаниям при условии транспортабельности пациента в соответствии с порядками и Маршрутизацией</w:t>
      </w:r>
    </w:p>
    <w:p>
      <w:pPr>
        <w:pStyle w:val="af3"/>
        <w:ind w:leftChars="0"/>
        <w:numPr>
          <w:ilvl w:val="0"/>
          <w:numId w:val="1"/>
        </w:numPr>
        <w:spacing w:line="360" w:lineRule="atLeast"/>
        <w:rPr/>
      </w:pPr>
      <w:r>
        <w:rPr/>
        <w:t>лечащий врач обязан информировать больного, а в случае лечения несовершеннолетних в возрасте до 15 лет и больных наркоманией в возрасте до 16 лет, а также граждан, признанных в установленном законом порядке недееспособными, их родителей или законных представителей в доступной для них форме о ходе лечения, прогнозе, необходимом индивидуальном режиме</w:t>
      </w:r>
    </w:p>
    <w:p>
      <w:pPr>
        <w:pStyle w:val="af3"/>
        <w:ind w:leftChars="0"/>
        <w:numPr>
          <w:ilvl w:val="0"/>
          <w:numId w:val="1"/>
        </w:numPr>
        <w:spacing w:after="160" w:line="259" w:lineRule="auto"/>
      </w:pPr>
      <w:r>
        <w:rPr/>
        <w:t>пациент обязан соблюдать правила внутреннего распорядка медицинского учреждения и рекомендации лечащего врача.</w:t>
      </w:r>
    </w:p>
    <w:sectPr>
      <w:pgSz w:w="11906" w:h="16838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Wingdings">
    <w:panose1 w:val="05000000000000000000"/>
    <w:notTrueType w:val="false"/>
    <w:sig w:usb0="00000001" w:usb1="00000001" w:usb2="00000001" w:usb3="00000001" w:csb0="80000000" w:csb1="00000001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fffeff30"/>
    <w:multiLevelType w:val="hybridMultilevel"/>
    <w:lvl w:ilvl="0" w:tplc="409006c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409006e">
      <w:start w:val="1"/>
      <w:numFmt w:val="bullet"/>
      <w:lvlText w:val=""/>
      <w:lvlJc w:val="left"/>
      <w:pPr>
        <w:ind w:left="1200" w:hanging="400"/>
      </w:pPr>
      <w:rPr>
        <w:rFonts w:ascii="Wingdings" w:hAnsi="Wingdings"/>
      </w:rPr>
    </w:lvl>
    <w:lvl w:ilvl="2" w:tplc="4090075">
      <w:start w:val="1"/>
      <w:numFmt w:val="bullet"/>
      <w:lvlText w:val=""/>
      <w:lvlJc w:val="left"/>
      <w:pPr>
        <w:ind w:left="1600" w:hanging="400"/>
      </w:pPr>
      <w:rPr>
        <w:rFonts w:ascii="Wingdings" w:hAnsi="Wingdings"/>
      </w:rPr>
    </w:lvl>
    <w:lvl w:ilvl="3" w:tplc="409006c">
      <w:start w:val="1"/>
      <w:numFmt w:val="bullet"/>
      <w:lvlText w:val=""/>
      <w:lvlJc w:val="left"/>
      <w:pPr>
        <w:ind w:left="2000" w:hanging="400"/>
      </w:pPr>
      <w:rPr>
        <w:rFonts w:ascii="Wingdings" w:hAnsi="Wingdings"/>
      </w:rPr>
    </w:lvl>
    <w:lvl w:ilvl="4" w:tplc="409006e">
      <w:start w:val="1"/>
      <w:numFmt w:val="bullet"/>
      <w:lvlText w:val=""/>
      <w:lvlJc w:val="left"/>
      <w:pPr>
        <w:ind w:left="2400" w:hanging="400"/>
      </w:pPr>
      <w:rPr>
        <w:rFonts w:ascii="Wingdings" w:hAnsi="Wingdings"/>
      </w:rPr>
    </w:lvl>
    <w:lvl w:ilvl="5" w:tplc="4090075">
      <w:start w:val="1"/>
      <w:numFmt w:val="bullet"/>
      <w:lvlText w:val=""/>
      <w:lvlJc w:val="left"/>
      <w:pPr>
        <w:ind w:left="2800" w:hanging="400"/>
      </w:pPr>
      <w:rPr>
        <w:rFonts w:ascii="Wingdings" w:hAnsi="Wingdings"/>
      </w:rPr>
    </w:lvl>
    <w:lvl w:ilvl="6" w:tplc="409006c">
      <w:start w:val="1"/>
      <w:numFmt w:val="bullet"/>
      <w:lvlText w:val=""/>
      <w:lvlJc w:val="left"/>
      <w:pPr>
        <w:ind w:left="3200" w:hanging="400"/>
      </w:pPr>
      <w:rPr>
        <w:rFonts w:ascii="Wingdings" w:hAnsi="Wingdings"/>
      </w:rPr>
    </w:lvl>
    <w:lvl w:ilvl="7" w:tplc="409006e">
      <w:start w:val="1"/>
      <w:numFmt w:val="bullet"/>
      <w:lvlText w:val=""/>
      <w:lvlJc w:val="left"/>
      <w:pPr>
        <w:ind w:left="3600" w:hanging="400"/>
      </w:pPr>
      <w:rPr>
        <w:rFonts w:ascii="Wingdings" w:hAnsi="Wingdings"/>
      </w:rPr>
    </w:lvl>
    <w:lvl w:ilvl="8" w:tplc="4090075">
      <w:start w:val="1"/>
      <w:numFmt w:val="bullet"/>
      <w:lvlText w:val=""/>
      <w:lvlJc w:val="left"/>
      <w:pPr>
        <w:ind w:left="4000" w:hanging="40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708"/>
  <w:drawingGridHorizontalSpacing w:val="110"/>
  <w:drawingGridVerticalSpacing w:val="18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ru-RU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ru-RU" w:eastAsia="ko-KR" w:bidi="ar-SA"/>
        <w:rFonts w:asciiTheme="minorHAnsi" w:eastAsiaTheme="minorEastAsia" w:hAnsiTheme="minorHAnsi" w:cstheme="minorBidi"/>
        <w:sz w:val="22"/>
        <w:szCs w:val="22"/>
      </w:rPr>
    </w:rPrDefault>
    <w:pPrDefault>
      <w:pPr>
        <w:spacing w:after="160" w:line="259" w:lineRule="auto"/>
      </w:pPr>
    </w:pPrDefault>
  </w:docDefaults>
  <w:style w:type="paragraph" w:default="1" w:styleId="a1">
    <w:name w:val="Normal"/>
    <w:qFormat/>
  </w:style>
  <w:style w:type="character" w:default="1" w:styleId="a2">
    <w:name w:val="Default Paragraph Font"/>
    <w:semiHidden/>
    <w:unhideWhenUsed/>
  </w:style>
  <w:style w:type="table" w:default="1" w:styleId="a3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  <w:unhideWhenUsed/>
  </w:style>
  <w:style w:type="paragraph" w:styleId="af3">
    <w:name w:val="List Paragraph"/>
    <w:basedOn w:val="a1"/>
    <w:qFormat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numbering" Target="numbering.xml" /><Relationship Id="rId6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Hancom Office">
      <a:dk1>
        <a:sysClr lastClr="000000" val="windowText"/>
      </a:dk1>
      <a:lt1>
        <a:sysClr lastClr="FFFFFF" val="window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Hancom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Hancom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2023-06-23T07:21:33Z</dcterms:created>
  <dcterms:modified xsi:type="dcterms:W3CDTF">2023-06-23T07:23:22Z</dcterms:modified>
  <cp:version>0900.0100.01</cp:version>
</cp:coreProperties>
</file>