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left"/>
        <w:rPr>
          <w:b w:val="0"/>
        </w:rPr>
      </w:pPr>
      <w:r>
        <w:rPr>
          <w:sz w:val="24"/>
          <w:szCs w:val="24"/>
        </w:rPr>
        <w:t>Правила записи на консультацию  в областные государственные учреждения здравоохранения  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 случае отсутствия необходимого врача-специалиста в поликлинике, в сложных диагностических случаях с целью коррекции лечения пациенты направляются лечащими врачами на консультацию в областные государственные лечебные учреждения.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Отбор пациентов на консультацию в областные государственные учреждения проводится лечащими врачами поликлиники после обследований, перечень которых определен стандартами медицинской помощи, утвержденных приказами МЗ РФ.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Лечащий врач оформляет направление, установленного образца, на консультацию и согласовывает факт направления с руководителем подразделения. 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/>
        <w:t>Запись на прием к врачам специалистам областных учреждений производится в районной поликлинике кабинете № 37 в электронном виде, с последующей выдачей распечатанного талона с указанием даты, времени, ФИО специалиста, наименования лечебного учреждения.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b2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409001b">
      <w:start w:val="1"/>
      <w:numFmt w:val="lowerRoman"/>
      <w:lvlText w:val="%3."/>
      <w:lvlJc w:val="left"/>
      <w:pPr>
        <w:ind w:left="1600" w:hanging="400"/>
      </w:pPr>
    </w:lvl>
    <w:lvl w:ilvl="3" w:tplc="409000f">
      <w:start w:val="1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409001b">
      <w:start w:val="1"/>
      <w:numFmt w:val="lowerRoman"/>
      <w:lvlText w:val="%6."/>
      <w:lvlJc w:val="left"/>
      <w:pPr>
        <w:ind w:left="2800" w:hanging="400"/>
      </w:pPr>
    </w:lvl>
    <w:lvl w:ilvl="6" w:tplc="409000f">
      <w:start w:val="1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2023-06-23T07:00:14Z</dcterms:created>
  <dcterms:modified xsi:type="dcterms:W3CDTF">2023-06-23T07:01:16Z</dcterms:modified>
  <cp:version>0900.0100.01</cp:version>
</cp:coreProperties>
</file>